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75" w:beforeAutospacing="0" w:after="75" w:afterAutospacing="0"/>
        <w:ind w:left="0" w:right="0"/>
        <w:jc w:val="left"/>
      </w:pPr>
      <w:r>
        <w:rPr>
          <w:rFonts w:hint="eastAsia" w:ascii="宋体" w:hAnsi="宋体" w:eastAsia="宋体" w:cs="宋体"/>
          <w:kern w:val="0"/>
          <w:sz w:val="24"/>
          <w:szCs w:val="24"/>
          <w:lang w:val="en-US" w:eastAsia="zh-CN" w:bidi="ar"/>
        </w:rPr>
        <w:t>各培养学院、全体研究生：</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75" w:beforeAutospacing="0" w:after="75" w:afterAutospacing="0"/>
        <w:ind w:left="0" w:right="0" w:firstLine="420"/>
        <w:jc w:val="left"/>
      </w:pPr>
      <w:r>
        <w:rPr>
          <w:rFonts w:hint="eastAsia" w:ascii="宋体" w:hAnsi="宋体" w:eastAsia="宋体" w:cs="宋体"/>
          <w:kern w:val="0"/>
          <w:sz w:val="24"/>
          <w:szCs w:val="24"/>
          <w:lang w:val="en-US" w:eastAsia="zh-CN" w:bidi="ar"/>
        </w:rPr>
        <w:t>根据《浙江工商大学优秀博士、硕士学位论文评选办法》（浙商大研〔2013〕23号）有关规定，由本人申请，经各学院分委员会评审、推荐，研究生部审查，秦玉梅同学的博士学位论文拟被评为校优秀博士学位论文；杜文凯等33位同学的硕士学位论文拟被评为校优秀硕士学位论文，现予公示。如有异议，请于1月30日前向研究生院反映。联系电话：288772240。</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75" w:beforeAutospacing="0" w:after="75" w:afterAutospacing="0"/>
        <w:ind w:left="0" w:right="0"/>
        <w:jc w:val="center"/>
      </w:pPr>
      <w:r>
        <w:rPr>
          <w:rFonts w:hint="eastAsia" w:ascii="宋体" w:hAnsi="宋体" w:eastAsia="宋体" w:cs="宋体"/>
          <w:color w:val="030303"/>
          <w:kern w:val="0"/>
          <w:sz w:val="24"/>
          <w:szCs w:val="24"/>
          <w:lang w:val="en-US" w:eastAsia="zh-CN" w:bidi="ar"/>
        </w:rPr>
        <w:t>浙江工商大学优秀博士、硕士学位论文清单</w:t>
      </w:r>
      <w:r>
        <w:rPr>
          <w:rFonts w:asciiTheme="minorHAnsi" w:hAnsiTheme="minorHAnsi" w:eastAsiaTheme="minorEastAsia" w:cstheme="minorBidi"/>
          <w:kern w:val="0"/>
          <w:sz w:val="24"/>
          <w:szCs w:val="24"/>
          <w:lang w:val="en-US" w:eastAsia="zh-CN" w:bidi="ar"/>
        </w:rPr>
        <w:t xml:space="preserve"> </w:t>
      </w:r>
    </w:p>
    <w:tbl>
      <w:tblPr>
        <w:tblW w:w="8302" w:type="dxa"/>
        <w:tblInd w:w="-7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19"/>
        <w:gridCol w:w="278"/>
        <w:gridCol w:w="928"/>
        <w:gridCol w:w="843"/>
        <w:gridCol w:w="758"/>
        <w:gridCol w:w="1267"/>
        <w:gridCol w:w="380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4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类别</w:t>
            </w:r>
            <w:r>
              <w:rPr>
                <w:rFonts w:ascii="sans serif" w:hAnsi="sans serif" w:eastAsia="sans serif" w:cs="sans serif"/>
                <w:kern w:val="0"/>
                <w:sz w:val="24"/>
                <w:szCs w:val="24"/>
                <w:lang w:val="en-US" w:eastAsia="zh-CN" w:bidi="ar"/>
              </w:rPr>
              <w:t xml:space="preserve"> </w:t>
            </w: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序号</w:t>
            </w:r>
            <w:r>
              <w:rPr>
                <w:rFonts w:hint="default" w:ascii="sans serif" w:hAnsi="sans serif" w:eastAsia="sans serif" w:cs="sans serif"/>
                <w:kern w:val="0"/>
                <w:sz w:val="24"/>
                <w:szCs w:val="24"/>
                <w:lang w:val="en-US" w:eastAsia="zh-CN" w:bidi="ar"/>
              </w:rPr>
              <w:t xml:space="preserve"> </w:t>
            </w:r>
          </w:p>
        </w:tc>
        <w:tc>
          <w:tcPr>
            <w:tcW w:w="92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学院</w:t>
            </w:r>
            <w:r>
              <w:rPr>
                <w:rFonts w:hint="default" w:ascii="sans serif" w:hAnsi="sans serif" w:eastAsia="sans serif" w:cs="sans serif"/>
                <w:kern w:val="0"/>
                <w:sz w:val="24"/>
                <w:szCs w:val="24"/>
                <w:lang w:val="en-US" w:eastAsia="zh-CN" w:bidi="ar"/>
              </w:rPr>
              <w:t xml:space="preserve"> </w:t>
            </w: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作者姓名</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导师姓名</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专业</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论文题目</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博士</w:t>
            </w:r>
            <w:r>
              <w:rPr>
                <w:rFonts w:hint="default" w:ascii="sans serif" w:hAnsi="sans serif" w:eastAsia="sans serif" w:cs="sans serif"/>
                <w:kern w:val="0"/>
                <w:sz w:val="24"/>
                <w:szCs w:val="24"/>
                <w:lang w:val="en-US" w:eastAsia="zh-CN" w:bidi="ar"/>
              </w:rPr>
              <w:t xml:space="preserve"> </w:t>
            </w: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1</w:t>
            </w:r>
            <w:r>
              <w:rPr>
                <w:rFonts w:hint="default" w:ascii="sans serif" w:hAnsi="sans serif" w:eastAsia="sans serif" w:cs="sans serif"/>
                <w:kern w:val="0"/>
                <w:sz w:val="24"/>
                <w:szCs w:val="24"/>
                <w:lang w:val="en-US" w:eastAsia="zh-CN" w:bidi="ar"/>
              </w:rPr>
              <w:t xml:space="preserve"> </w:t>
            </w:r>
          </w:p>
        </w:tc>
        <w:tc>
          <w:tcPr>
            <w:tcW w:w="92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食品与生物工程学院</w:t>
            </w:r>
            <w:r>
              <w:rPr>
                <w:rFonts w:hint="default" w:ascii="sans serif" w:hAnsi="sans serif" w:eastAsia="sans serif" w:cs="sans serif"/>
                <w:kern w:val="0"/>
                <w:sz w:val="24"/>
                <w:szCs w:val="24"/>
                <w:lang w:val="en-US" w:eastAsia="zh-CN" w:bidi="ar"/>
              </w:rPr>
              <w:t xml:space="preserve"> </w:t>
            </w: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秦玉梅</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邓少平</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食品科学</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咖啡因长期暴露影响甜味偏好及肠道糖吸收的基础研究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硕士</w:t>
            </w:r>
            <w:r>
              <w:rPr>
                <w:rFonts w:hint="default" w:ascii="sans serif" w:hAnsi="sans serif" w:eastAsia="sans serif" w:cs="sans serif"/>
                <w:kern w:val="0"/>
                <w:sz w:val="24"/>
                <w:szCs w:val="24"/>
                <w:lang w:val="en-US" w:eastAsia="zh-CN" w:bidi="ar"/>
              </w:rPr>
              <w:t xml:space="preserve"> </w:t>
            </w: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1</w:t>
            </w:r>
            <w:r>
              <w:rPr>
                <w:rFonts w:hint="default" w:ascii="sans serif" w:hAnsi="sans serif" w:eastAsia="sans serif" w:cs="sans serif"/>
                <w:kern w:val="0"/>
                <w:sz w:val="24"/>
                <w:szCs w:val="24"/>
                <w:lang w:val="en-US" w:eastAsia="zh-CN" w:bidi="ar"/>
              </w:rPr>
              <w:t xml:space="preserve"> </w:t>
            </w:r>
          </w:p>
        </w:tc>
        <w:tc>
          <w:tcPr>
            <w:tcW w:w="92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工商管理学院</w:t>
            </w:r>
            <w:r>
              <w:rPr>
                <w:rFonts w:hint="default" w:ascii="sans serif" w:hAnsi="sans serif" w:eastAsia="sans serif" w:cs="sans serif"/>
                <w:kern w:val="0"/>
                <w:sz w:val="24"/>
                <w:szCs w:val="24"/>
                <w:lang w:val="en-US" w:eastAsia="zh-CN" w:bidi="ar"/>
              </w:rPr>
              <w:t xml:space="preserve"> </w:t>
            </w: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王节祥</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盛亚</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企业管理</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复杂产品系统创新风险的生成机制研究：利益相关者权利非对称视角</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2</w:t>
            </w:r>
            <w:r>
              <w:rPr>
                <w:rFonts w:hint="default" w:ascii="sans serif" w:hAnsi="sans serif" w:eastAsia="sans serif" w:cs="sans serif"/>
                <w:kern w:val="0"/>
                <w:sz w:val="24"/>
                <w:szCs w:val="24"/>
                <w:lang w:val="en-US" w:eastAsia="zh-CN" w:bidi="ar"/>
              </w:rPr>
              <w:t xml:space="preserve"> </w:t>
            </w:r>
          </w:p>
        </w:tc>
        <w:tc>
          <w:tcPr>
            <w:tcW w:w="928"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旅游与城市管理学院</w:t>
            </w:r>
            <w:r>
              <w:rPr>
                <w:rFonts w:hint="default" w:ascii="sans serif" w:hAnsi="sans serif" w:eastAsia="sans serif" w:cs="sans serif"/>
                <w:kern w:val="0"/>
                <w:sz w:val="24"/>
                <w:szCs w:val="24"/>
                <w:lang w:val="en-US" w:eastAsia="zh-CN" w:bidi="ar"/>
              </w:rPr>
              <w:t xml:space="preserve"> </w:t>
            </w: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桑丽杰</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王国新</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旅游管理</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杭州城市休闲绿地空间结构及其利用优化研究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3</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陈蓓蕾</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唐代剑</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旅游管理</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浙江省老年度假影响因素研究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4</w:t>
            </w:r>
            <w:r>
              <w:rPr>
                <w:rFonts w:hint="default" w:ascii="sans serif" w:hAnsi="sans serif" w:eastAsia="sans serif" w:cs="sans serif"/>
                <w:kern w:val="0"/>
                <w:sz w:val="24"/>
                <w:szCs w:val="24"/>
                <w:lang w:val="en-US" w:eastAsia="zh-CN" w:bidi="ar"/>
              </w:rPr>
              <w:t xml:space="preserve"> </w:t>
            </w:r>
          </w:p>
        </w:tc>
        <w:tc>
          <w:tcPr>
            <w:tcW w:w="928"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统计学院</w:t>
            </w:r>
            <w:r>
              <w:rPr>
                <w:rFonts w:hint="default" w:ascii="sans serif" w:hAnsi="sans serif" w:eastAsia="sans serif" w:cs="sans serif"/>
                <w:kern w:val="0"/>
                <w:sz w:val="24"/>
                <w:szCs w:val="24"/>
                <w:lang w:val="en-US" w:eastAsia="zh-CN" w:bidi="ar"/>
              </w:rPr>
              <w:t xml:space="preserve"> </w:t>
            </w: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石薇</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徐蔼婷</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统计学</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非正规部门对居民收入的影响力度与影响路径—基于</w:t>
            </w:r>
            <w:r>
              <w:rPr>
                <w:rFonts w:hint="default" w:ascii="sans serif" w:hAnsi="sans serif" w:eastAsia="sans serif" w:cs="sans serif"/>
                <w:kern w:val="0"/>
                <w:sz w:val="18"/>
                <w:szCs w:val="18"/>
                <w:lang w:val="en-US" w:eastAsia="zh-CN" w:bidi="ar"/>
              </w:rPr>
              <w:t>SAM</w:t>
            </w:r>
            <w:r>
              <w:rPr>
                <w:rFonts w:hint="eastAsia" w:ascii="宋体" w:hAnsi="宋体" w:eastAsia="宋体" w:cs="宋体"/>
                <w:kern w:val="0"/>
                <w:sz w:val="18"/>
                <w:szCs w:val="18"/>
                <w:lang w:val="en-US" w:eastAsia="zh-CN" w:bidi="ar"/>
              </w:rPr>
              <w:t>的分析</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5</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吴熠</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许冰</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数量经济学</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条件资产定价模型与定价因子的研究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6</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袁军江</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赵卫亚</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数量经济学</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我国城镇居民消费差异及其形成原因探析</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7</w:t>
            </w:r>
            <w:r>
              <w:rPr>
                <w:rFonts w:hint="default" w:ascii="sans serif" w:hAnsi="sans serif" w:eastAsia="sans serif" w:cs="sans serif"/>
                <w:kern w:val="0"/>
                <w:sz w:val="24"/>
                <w:szCs w:val="24"/>
                <w:lang w:val="en-US" w:eastAsia="zh-CN" w:bidi="ar"/>
              </w:rPr>
              <w:t xml:space="preserve"> </w:t>
            </w:r>
          </w:p>
        </w:tc>
        <w:tc>
          <w:tcPr>
            <w:tcW w:w="928"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经济学院</w:t>
            </w:r>
            <w:r>
              <w:rPr>
                <w:rFonts w:hint="default" w:ascii="sans serif" w:hAnsi="sans serif" w:eastAsia="sans serif" w:cs="sans serif"/>
                <w:kern w:val="0"/>
                <w:sz w:val="24"/>
                <w:szCs w:val="24"/>
                <w:lang w:val="en-US" w:eastAsia="zh-CN" w:bidi="ar"/>
              </w:rPr>
              <w:t xml:space="preserve"> </w:t>
            </w: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黄媛媛</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孙敬水</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产业经济学</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浙江省行业收入差距适度性研究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8</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汪庆芝</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孙敬水</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产业经济学</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浙江省城乡收入差距适度性研究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9</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安祖贵</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张宗和</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区域经济学</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浙江省市域经济差异及收敛性分析——基于浙江省</w:t>
            </w:r>
            <w:r>
              <w:rPr>
                <w:rFonts w:hint="default" w:ascii="sans serif" w:hAnsi="sans serif" w:eastAsia="sans serif" w:cs="sans serif"/>
                <w:kern w:val="0"/>
                <w:sz w:val="18"/>
                <w:szCs w:val="18"/>
                <w:lang w:val="en-US" w:eastAsia="zh-CN" w:bidi="ar"/>
              </w:rPr>
              <w:t>11</w:t>
            </w:r>
            <w:r>
              <w:rPr>
                <w:rFonts w:hint="eastAsia" w:ascii="宋体" w:hAnsi="宋体" w:eastAsia="宋体" w:cs="宋体"/>
                <w:kern w:val="0"/>
                <w:sz w:val="18"/>
                <w:szCs w:val="18"/>
                <w:lang w:val="en-US" w:eastAsia="zh-CN" w:bidi="ar"/>
              </w:rPr>
              <w:t>个地级市的面板数据</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10</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潘琰</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赵英军</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国际贸易学</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中国上市公司海外并购市场绩效的实证研究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11</w:t>
            </w:r>
            <w:r>
              <w:rPr>
                <w:rFonts w:hint="default" w:ascii="sans serif" w:hAnsi="sans serif" w:eastAsia="sans serif" w:cs="sans serif"/>
                <w:kern w:val="0"/>
                <w:sz w:val="24"/>
                <w:szCs w:val="24"/>
                <w:lang w:val="en-US" w:eastAsia="zh-CN" w:bidi="ar"/>
              </w:rPr>
              <w:t xml:space="preserve"> </w:t>
            </w:r>
          </w:p>
        </w:tc>
        <w:tc>
          <w:tcPr>
            <w:tcW w:w="928"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金融学院</w:t>
            </w:r>
            <w:r>
              <w:rPr>
                <w:rFonts w:hint="default" w:ascii="sans serif" w:hAnsi="sans serif" w:eastAsia="sans serif" w:cs="sans serif"/>
                <w:kern w:val="0"/>
                <w:sz w:val="24"/>
                <w:szCs w:val="24"/>
                <w:lang w:val="en-US" w:eastAsia="zh-CN" w:bidi="ar"/>
              </w:rPr>
              <w:t xml:space="preserve"> </w:t>
            </w: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黄林东</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姚耀军</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金融学</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金融生态环境的“资金洼地”效应及其对资本配置效率的影响</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12</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吴梁</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彭寿康</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金融学</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特许权价值与银行资本缓冲的关系——来自中国上市银行的实证分析</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13</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陈玟羽</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钱水土</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金融学</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村镇银行市场定位及其影响因素研究——基于浙江省数据</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14</w:t>
            </w:r>
            <w:r>
              <w:rPr>
                <w:rFonts w:hint="default" w:ascii="sans serif" w:hAnsi="sans serif" w:eastAsia="sans serif" w:cs="sans serif"/>
                <w:kern w:val="0"/>
                <w:sz w:val="24"/>
                <w:szCs w:val="24"/>
                <w:lang w:val="en-US" w:eastAsia="zh-CN" w:bidi="ar"/>
              </w:rPr>
              <w:t xml:space="preserve"> </w:t>
            </w:r>
          </w:p>
        </w:tc>
        <w:tc>
          <w:tcPr>
            <w:tcW w:w="928"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食品与生物工程学院</w:t>
            </w:r>
            <w:r>
              <w:rPr>
                <w:rFonts w:hint="default" w:ascii="sans serif" w:hAnsi="sans serif" w:eastAsia="sans serif" w:cs="sans serif"/>
                <w:kern w:val="0"/>
                <w:sz w:val="24"/>
                <w:szCs w:val="24"/>
                <w:lang w:val="en-US" w:eastAsia="zh-CN" w:bidi="ar"/>
              </w:rPr>
              <w:t xml:space="preserve"> </w:t>
            </w:r>
          </w:p>
        </w:tc>
        <w:tc>
          <w:tcPr>
            <w:tcW w:w="843"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杜文凯</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杜琪珍</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食品科学与工程</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β</w:t>
            </w:r>
            <w:r>
              <w:rPr>
                <w:rFonts w:hint="default" w:ascii="sans serif" w:hAnsi="sans serif" w:eastAsia="sans serif" w:cs="sans serif"/>
                <w:kern w:val="0"/>
                <w:sz w:val="18"/>
                <w:szCs w:val="18"/>
                <w:lang w:val="en-US" w:eastAsia="zh-CN" w:bidi="ar"/>
              </w:rPr>
              <w:t>-</w:t>
            </w:r>
            <w:r>
              <w:rPr>
                <w:rFonts w:hint="eastAsia" w:ascii="宋体" w:hAnsi="宋体" w:eastAsia="宋体" w:cs="宋体"/>
                <w:kern w:val="0"/>
                <w:sz w:val="18"/>
                <w:szCs w:val="18"/>
                <w:lang w:val="en-US" w:eastAsia="zh-CN" w:bidi="ar"/>
              </w:rPr>
              <w:t>乳球蛋白与表没食子儿茶素没食子酸酯制备纳米粒及其抗肿瘤活性研究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15</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王静慧</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韩剑众</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食品科学与工程</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血根碱对细菌生物被膜的作用研究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16</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卜俊芝</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戴志远</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食品科学与工程</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三种海蟹营养和风味成分的研究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17</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color w:val="000000"/>
                <w:kern w:val="0"/>
                <w:sz w:val="18"/>
                <w:szCs w:val="18"/>
                <w:lang w:val="en-US" w:eastAsia="zh-CN" w:bidi="ar"/>
              </w:rPr>
              <w:t>胡雪</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赵广英</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食品科学与工程</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color w:val="000000"/>
                <w:kern w:val="0"/>
                <w:sz w:val="18"/>
                <w:szCs w:val="18"/>
                <w:lang w:val="en-US" w:eastAsia="zh-CN" w:bidi="ar"/>
              </w:rPr>
              <w:t>基于电沉积石墨烯阪崎肠杆菌酶免疫传感器研究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18</w:t>
            </w:r>
            <w:r>
              <w:rPr>
                <w:rFonts w:hint="default" w:ascii="sans serif" w:hAnsi="sans serif" w:eastAsia="sans serif" w:cs="sans serif"/>
                <w:kern w:val="0"/>
                <w:sz w:val="24"/>
                <w:szCs w:val="24"/>
                <w:lang w:val="en-US" w:eastAsia="zh-CN" w:bidi="ar"/>
              </w:rPr>
              <w:t xml:space="preserve"> </w:t>
            </w:r>
          </w:p>
        </w:tc>
        <w:tc>
          <w:tcPr>
            <w:tcW w:w="928"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环境科学与工程学院</w:t>
            </w:r>
            <w:r>
              <w:rPr>
                <w:rFonts w:hint="default" w:ascii="sans serif" w:hAnsi="sans serif" w:eastAsia="sans serif" w:cs="sans serif"/>
                <w:kern w:val="0"/>
                <w:sz w:val="24"/>
                <w:szCs w:val="24"/>
                <w:lang w:val="en-US" w:eastAsia="zh-CN" w:bidi="ar"/>
              </w:rPr>
              <w:t xml:space="preserve"> </w:t>
            </w:r>
          </w:p>
        </w:tc>
        <w:tc>
          <w:tcPr>
            <w:tcW w:w="843"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黄若男</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刘惠君</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环境工程</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典型咪唑氯盐类离子液体对蚯蚓的毒性效应研究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19</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李哲</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丛燕青</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环境工程</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Fe2O3/TiO2纳米管的制备及光电降解污染物性能与机理</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20</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宋二喜</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沈东升</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环境工程</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一株4-氟苯胺降解菌的分离、鉴定及降解特性研究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21</w:t>
            </w:r>
            <w:r>
              <w:rPr>
                <w:rFonts w:hint="default" w:ascii="sans serif" w:hAnsi="sans serif" w:eastAsia="sans serif" w:cs="sans serif"/>
                <w:kern w:val="0"/>
                <w:sz w:val="24"/>
                <w:szCs w:val="24"/>
                <w:lang w:val="en-US" w:eastAsia="zh-CN" w:bidi="ar"/>
              </w:rPr>
              <w:t xml:space="preserve"> </w:t>
            </w:r>
          </w:p>
        </w:tc>
        <w:tc>
          <w:tcPr>
            <w:tcW w:w="92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信息与电子工程学院</w:t>
            </w:r>
            <w:r>
              <w:rPr>
                <w:rFonts w:hint="default" w:ascii="sans serif" w:hAnsi="sans serif" w:eastAsia="sans serif" w:cs="sans serif"/>
                <w:kern w:val="0"/>
                <w:sz w:val="24"/>
                <w:szCs w:val="24"/>
                <w:lang w:val="en-US" w:eastAsia="zh-CN" w:bidi="ar"/>
              </w:rPr>
              <w:t xml:space="preserve"> </w:t>
            </w: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王栋</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王寿光</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信号与信息处理</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基于改进</w:t>
            </w:r>
            <w:r>
              <w:rPr>
                <w:rFonts w:hint="default" w:ascii="sans serif" w:hAnsi="sans serif" w:eastAsia="sans serif" w:cs="sans serif"/>
                <w:kern w:val="0"/>
                <w:sz w:val="18"/>
                <w:szCs w:val="18"/>
                <w:lang w:val="en-US" w:eastAsia="zh-CN" w:bidi="ar"/>
              </w:rPr>
              <w:t>MIP</w:t>
            </w:r>
            <w:r>
              <w:rPr>
                <w:rFonts w:hint="eastAsia" w:ascii="宋体" w:hAnsi="宋体" w:eastAsia="宋体" w:cs="宋体"/>
                <w:kern w:val="0"/>
                <w:sz w:val="18"/>
                <w:szCs w:val="18"/>
                <w:lang w:val="en-US" w:eastAsia="zh-CN" w:bidi="ar"/>
              </w:rPr>
              <w:t>法柔性制造系统死锁控制的研究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22</w:t>
            </w:r>
            <w:r>
              <w:rPr>
                <w:rFonts w:hint="default" w:ascii="sans serif" w:hAnsi="sans serif" w:eastAsia="sans serif" w:cs="sans serif"/>
                <w:kern w:val="0"/>
                <w:sz w:val="24"/>
                <w:szCs w:val="24"/>
                <w:lang w:val="en-US" w:eastAsia="zh-CN" w:bidi="ar"/>
              </w:rPr>
              <w:t xml:space="preserve"> </w:t>
            </w:r>
          </w:p>
        </w:tc>
        <w:tc>
          <w:tcPr>
            <w:tcW w:w="928"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计算机与信息工程学院</w:t>
            </w:r>
            <w:r>
              <w:rPr>
                <w:rFonts w:hint="default" w:ascii="sans serif" w:hAnsi="sans serif" w:eastAsia="sans serif" w:cs="sans serif"/>
                <w:kern w:val="0"/>
                <w:sz w:val="24"/>
                <w:szCs w:val="24"/>
                <w:lang w:val="en-US" w:eastAsia="zh-CN" w:bidi="ar"/>
              </w:rPr>
              <w:t xml:space="preserve"> </w:t>
            </w:r>
          </w:p>
        </w:tc>
        <w:tc>
          <w:tcPr>
            <w:tcW w:w="843"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李</w:t>
            </w:r>
            <w:r>
              <w:rPr>
                <w:rFonts w:hint="default" w:ascii="sans serif" w:hAnsi="sans serif" w:eastAsia="sans serif" w:cs="sans serif"/>
                <w:kern w:val="0"/>
                <w:sz w:val="18"/>
                <w:szCs w:val="18"/>
                <w:lang w:val="en-US" w:eastAsia="zh-CN" w:bidi="ar"/>
              </w:rPr>
              <w:t xml:space="preserve">  </w:t>
            </w:r>
            <w:r>
              <w:rPr>
                <w:rFonts w:hint="eastAsia" w:ascii="宋体" w:hAnsi="宋体" w:eastAsia="宋体" w:cs="宋体"/>
                <w:kern w:val="0"/>
                <w:sz w:val="18"/>
                <w:szCs w:val="18"/>
                <w:lang w:val="en-US" w:eastAsia="zh-CN" w:bidi="ar"/>
              </w:rPr>
              <w:t>红</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王勋</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计算机应用技术</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基于梯度域的图像抽象化与重光照技术</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23</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严彩萍</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凌云</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计算机应用技术</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色调保持的自适应图像视频细节增强算法</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24</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范英豪</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王勋</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计算机应用技术</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基于几何活动轮廓的</w:t>
            </w:r>
            <w:r>
              <w:rPr>
                <w:rFonts w:hint="default" w:ascii="sans serif" w:hAnsi="sans serif" w:eastAsia="sans serif" w:cs="sans serif"/>
                <w:kern w:val="0"/>
                <w:sz w:val="18"/>
                <w:szCs w:val="18"/>
                <w:lang w:val="en-US" w:eastAsia="zh-CN" w:bidi="ar"/>
              </w:rPr>
              <w:t>SAR</w:t>
            </w:r>
            <w:r>
              <w:rPr>
                <w:rFonts w:hint="eastAsia" w:ascii="宋体" w:hAnsi="宋体" w:eastAsia="宋体" w:cs="宋体"/>
                <w:kern w:val="0"/>
                <w:sz w:val="18"/>
                <w:szCs w:val="18"/>
                <w:lang w:val="en-US" w:eastAsia="zh-CN" w:bidi="ar"/>
              </w:rPr>
              <w:t>目标提取技术研究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25</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魏星锋</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华尔天</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计算机应用技术</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无线传感器网络低功耗</w:t>
            </w:r>
            <w:r>
              <w:rPr>
                <w:rFonts w:hint="default" w:ascii="sans serif" w:hAnsi="sans serif" w:eastAsia="sans serif" w:cs="sans serif"/>
                <w:kern w:val="0"/>
                <w:sz w:val="18"/>
                <w:szCs w:val="18"/>
                <w:lang w:val="en-US" w:eastAsia="zh-CN" w:bidi="ar"/>
              </w:rPr>
              <w:t>MAC</w:t>
            </w:r>
            <w:r>
              <w:rPr>
                <w:rFonts w:hint="eastAsia" w:ascii="宋体" w:hAnsi="宋体" w:eastAsia="宋体" w:cs="宋体"/>
                <w:kern w:val="0"/>
                <w:sz w:val="18"/>
                <w:szCs w:val="18"/>
                <w:lang w:val="en-US" w:eastAsia="zh-CN" w:bidi="ar"/>
              </w:rPr>
              <w:t>协议的研究与应用</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26</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张鹏坤</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琚春华</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管理科学与工程</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融入簇存在强度的商业数据流聚类及漂移检测模型研究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27</w:t>
            </w:r>
            <w:r>
              <w:rPr>
                <w:rFonts w:hint="default" w:ascii="sans serif" w:hAnsi="sans serif" w:eastAsia="sans serif" w:cs="sans serif"/>
                <w:kern w:val="0"/>
                <w:sz w:val="24"/>
                <w:szCs w:val="24"/>
                <w:lang w:val="en-US" w:eastAsia="zh-CN" w:bidi="ar"/>
              </w:rPr>
              <w:t xml:space="preserve"> </w:t>
            </w:r>
          </w:p>
        </w:tc>
        <w:tc>
          <w:tcPr>
            <w:tcW w:w="928"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法学院</w:t>
            </w:r>
            <w:r>
              <w:rPr>
                <w:rFonts w:hint="default" w:ascii="sans serif" w:hAnsi="sans serif" w:eastAsia="sans serif" w:cs="sans serif"/>
                <w:kern w:val="0"/>
                <w:sz w:val="24"/>
                <w:szCs w:val="24"/>
                <w:lang w:val="en-US" w:eastAsia="zh-CN" w:bidi="ar"/>
              </w:rPr>
              <w:t xml:space="preserve"> </w:t>
            </w: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马闻声</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骆梅英</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诉讼法学</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美国法上的行政不作为司法审查</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28</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孙正</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楼伯坤</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诉讼法学</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逮捕决定权的分配与制衡研究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29</w:t>
            </w:r>
            <w:r>
              <w:rPr>
                <w:rFonts w:hint="default" w:ascii="sans serif" w:hAnsi="sans serif" w:eastAsia="sans serif" w:cs="sans serif"/>
                <w:kern w:val="0"/>
                <w:sz w:val="24"/>
                <w:szCs w:val="24"/>
                <w:lang w:val="en-US" w:eastAsia="zh-CN" w:bidi="ar"/>
              </w:rPr>
              <w:t xml:space="preserve"> </w:t>
            </w:r>
          </w:p>
        </w:tc>
        <w:tc>
          <w:tcPr>
            <w:tcW w:w="92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外国语学院</w:t>
            </w:r>
            <w:r>
              <w:rPr>
                <w:rFonts w:hint="default" w:ascii="sans serif" w:hAnsi="sans serif" w:eastAsia="sans serif" w:cs="sans serif"/>
                <w:kern w:val="0"/>
                <w:sz w:val="24"/>
                <w:szCs w:val="24"/>
                <w:lang w:val="en-US" w:eastAsia="zh-CN" w:bidi="ar"/>
              </w:rPr>
              <w:t xml:space="preserve"> </w:t>
            </w: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石艳</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王述文</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外国语言学及应用语言学</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翻译适应选择论视角下的李清照词英译本对比研究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30</w:t>
            </w:r>
            <w:r>
              <w:rPr>
                <w:rFonts w:hint="default" w:ascii="sans serif" w:hAnsi="sans serif" w:eastAsia="sans serif" w:cs="sans serif"/>
                <w:kern w:val="0"/>
                <w:sz w:val="24"/>
                <w:szCs w:val="24"/>
                <w:lang w:val="en-US" w:eastAsia="zh-CN" w:bidi="ar"/>
              </w:rPr>
              <w:t xml:space="preserve"> </w:t>
            </w:r>
          </w:p>
        </w:tc>
        <w:tc>
          <w:tcPr>
            <w:tcW w:w="928"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日本语言文化学院</w:t>
            </w:r>
            <w:r>
              <w:rPr>
                <w:rFonts w:hint="default" w:ascii="sans serif" w:hAnsi="sans serif" w:eastAsia="sans serif" w:cs="sans serif"/>
                <w:kern w:val="0"/>
                <w:sz w:val="24"/>
                <w:szCs w:val="24"/>
                <w:lang w:val="en-US" w:eastAsia="zh-CN" w:bidi="ar"/>
              </w:rPr>
              <w:t xml:space="preserve"> </w:t>
            </w: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吕超</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王宝平</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日语语言文学</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清末日语翻译沈纮研究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31</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林晓露</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肖平</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日语语言文学</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《今昔物语集》复合格助词「ヲ以テ」综合研究——以汉文出典为基准</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32</w:t>
            </w:r>
            <w:r>
              <w:rPr>
                <w:rFonts w:hint="default" w:ascii="sans serif" w:hAnsi="sans serif" w:eastAsia="sans serif" w:cs="sans serif"/>
                <w:kern w:val="0"/>
                <w:sz w:val="24"/>
                <w:szCs w:val="24"/>
                <w:lang w:val="en-US" w:eastAsia="zh-CN" w:bidi="ar"/>
              </w:rPr>
              <w:t xml:space="preserve"> </w:t>
            </w:r>
          </w:p>
        </w:tc>
        <w:tc>
          <w:tcPr>
            <w:tcW w:w="92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梁琼之</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郭万平</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日语语言文学</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平清盛与宋日关系研究</w:t>
            </w:r>
            <w:r>
              <w:rPr>
                <w:rFonts w:hint="default" w:ascii="sans serif" w:hAnsi="sans serif" w:eastAsia="sans serif" w:cs="sans serif"/>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41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sans serif" w:hAnsi="sans serif" w:eastAsia="sans serif" w:cs="sans serif"/>
                <w:sz w:val="18"/>
                <w:szCs w:val="18"/>
              </w:rPr>
            </w:pPr>
          </w:p>
        </w:tc>
        <w:tc>
          <w:tcPr>
            <w:tcW w:w="2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default" w:ascii="sans serif" w:hAnsi="sans serif" w:eastAsia="sans serif" w:cs="sans serif"/>
                <w:kern w:val="0"/>
                <w:sz w:val="18"/>
                <w:szCs w:val="18"/>
                <w:lang w:val="en-US" w:eastAsia="zh-CN" w:bidi="ar"/>
              </w:rPr>
              <w:t>33</w:t>
            </w:r>
            <w:r>
              <w:rPr>
                <w:rFonts w:hint="default" w:ascii="sans serif" w:hAnsi="sans serif" w:eastAsia="sans serif" w:cs="sans serif"/>
                <w:kern w:val="0"/>
                <w:sz w:val="24"/>
                <w:szCs w:val="24"/>
                <w:lang w:val="en-US" w:eastAsia="zh-CN" w:bidi="ar"/>
              </w:rPr>
              <w:t xml:space="preserve"> </w:t>
            </w:r>
          </w:p>
        </w:tc>
        <w:tc>
          <w:tcPr>
            <w:tcW w:w="92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马克思主义学院</w:t>
            </w:r>
            <w:r>
              <w:rPr>
                <w:rFonts w:hint="default" w:ascii="sans serif" w:hAnsi="sans serif" w:eastAsia="sans serif" w:cs="sans serif"/>
                <w:kern w:val="0"/>
                <w:sz w:val="24"/>
                <w:szCs w:val="24"/>
                <w:lang w:val="en-US" w:eastAsia="zh-CN" w:bidi="ar"/>
              </w:rPr>
              <w:t xml:space="preserve"> </w:t>
            </w:r>
          </w:p>
        </w:tc>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龙荣波</w:t>
            </w:r>
            <w:r>
              <w:rPr>
                <w:rFonts w:hint="default" w:ascii="sans serif" w:hAnsi="sans serif" w:eastAsia="sans serif" w:cs="sans serif"/>
                <w:kern w:val="0"/>
                <w:sz w:val="24"/>
                <w:szCs w:val="24"/>
                <w:lang w:val="en-US" w:eastAsia="zh-CN" w:bidi="ar"/>
              </w:rPr>
              <w:t xml:space="preserve"> </w:t>
            </w:r>
          </w:p>
        </w:tc>
        <w:tc>
          <w:tcPr>
            <w:tcW w:w="7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詹真荣</w:t>
            </w:r>
            <w:r>
              <w:rPr>
                <w:rFonts w:hint="default" w:ascii="sans serif" w:hAnsi="sans serif" w:eastAsia="sans serif" w:cs="sans serif"/>
                <w:kern w:val="0"/>
                <w:sz w:val="24"/>
                <w:szCs w:val="24"/>
                <w:lang w:val="en-US" w:eastAsia="zh-CN" w:bidi="ar"/>
              </w:rPr>
              <w:t xml:space="preserve"> </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center"/>
            </w:pPr>
            <w:r>
              <w:rPr>
                <w:rFonts w:hint="eastAsia" w:ascii="宋体" w:hAnsi="宋体" w:eastAsia="宋体" w:cs="宋体"/>
                <w:kern w:val="0"/>
                <w:sz w:val="18"/>
                <w:szCs w:val="18"/>
                <w:lang w:val="en-US" w:eastAsia="zh-CN" w:bidi="ar"/>
              </w:rPr>
              <w:t>马克思主义基本原理</w:t>
            </w:r>
            <w:r>
              <w:rPr>
                <w:rFonts w:hint="default" w:ascii="sans serif" w:hAnsi="sans serif" w:eastAsia="sans serif" w:cs="sans serif"/>
                <w:kern w:val="0"/>
                <w:sz w:val="24"/>
                <w:szCs w:val="24"/>
                <w:lang w:val="en-US" w:eastAsia="zh-CN" w:bidi="ar"/>
              </w:rPr>
              <w:t xml:space="preserve"> </w:t>
            </w:r>
          </w:p>
        </w:tc>
        <w:tc>
          <w:tcPr>
            <w:tcW w:w="380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75" w:beforeAutospacing="0" w:after="75" w:afterAutospacing="0" w:line="23" w:lineRule="atLeast"/>
              <w:ind w:left="0" w:right="0"/>
              <w:jc w:val="left"/>
            </w:pPr>
            <w:r>
              <w:rPr>
                <w:rFonts w:hint="eastAsia" w:ascii="宋体" w:hAnsi="宋体" w:eastAsia="宋体" w:cs="宋体"/>
                <w:kern w:val="0"/>
                <w:sz w:val="18"/>
                <w:szCs w:val="18"/>
                <w:lang w:val="en-US" w:eastAsia="zh-CN" w:bidi="ar"/>
              </w:rPr>
              <w:t>英国空想社会主义的社会建设思想研究</w:t>
            </w:r>
            <w:r>
              <w:rPr>
                <w:rFonts w:hint="default" w:ascii="sans serif" w:hAnsi="sans serif" w:eastAsia="sans serif" w:cs="sans serif"/>
                <w:kern w:val="0"/>
                <w:sz w:val="24"/>
                <w:szCs w:val="24"/>
                <w:lang w:val="en-US" w:eastAsia="zh-CN" w:bidi="ar"/>
              </w:rPr>
              <w:t xml:space="preserve"> </w:t>
            </w:r>
          </w:p>
        </w:tc>
      </w:tr>
    </w:tbl>
    <w:p>
      <w:pPr>
        <w:keepNext w:val="0"/>
        <w:keepLines w:val="0"/>
        <w:widowControl/>
        <w:suppressLineNumbers w:val="0"/>
        <w:spacing w:before="75" w:beforeAutospacing="0" w:after="75" w:afterAutospacing="0"/>
        <w:ind w:left="0" w:right="0"/>
        <w:jc w:val="right"/>
      </w:pPr>
      <w:r>
        <w:rPr>
          <w:rFonts w:ascii="仿宋_GB2312" w:eastAsia="仿宋_GB2312" w:cs="仿宋_GB2312" w:hAnsiTheme="minorHAnsi"/>
          <w:kern w:val="0"/>
          <w:sz w:val="32"/>
          <w:szCs w:val="32"/>
          <w:lang w:val="en-US" w:eastAsia="zh-CN" w:bidi="ar"/>
        </w:rPr>
        <w:t xml:space="preserve">              </w:t>
      </w:r>
      <w:r>
        <w:rPr>
          <w:rFonts w:hint="default" w:ascii="仿宋_GB2312" w:eastAsia="仿宋_GB2312" w:cs="仿宋_GB2312" w:hAnsiTheme="minorHAnsi"/>
          <w:kern w:val="0"/>
          <w:sz w:val="32"/>
          <w:szCs w:val="32"/>
          <w:lang w:val="en-US" w:eastAsia="zh-CN" w:bidi="ar"/>
        </w:rPr>
        <w:t>                          </w:t>
      </w:r>
      <w:r>
        <w:rPr>
          <w:rFonts w:hint="eastAsia" w:ascii="宋体" w:hAnsi="宋体" w:eastAsia="宋体" w:cs="宋体"/>
          <w:kern w:val="0"/>
          <w:sz w:val="24"/>
          <w:szCs w:val="24"/>
          <w:lang w:val="en-US" w:eastAsia="zh-CN" w:bidi="ar"/>
        </w:rPr>
        <w:t>   研究生部</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75" w:beforeAutospacing="0" w:after="75" w:afterAutospacing="0"/>
        <w:ind w:left="0" w:right="0"/>
        <w:jc w:val="right"/>
      </w:pPr>
      <w:r>
        <w:rPr>
          <w:rFonts w:hint="eastAsia" w:ascii="宋体" w:hAnsi="宋体" w:eastAsia="宋体" w:cs="宋体"/>
          <w:kern w:val="0"/>
          <w:sz w:val="24"/>
          <w:szCs w:val="24"/>
          <w:lang w:val="en-US" w:eastAsia="zh-CN" w:bidi="ar"/>
        </w:rPr>
        <w:t>                                         2013年1月25日</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jc w:val="left"/>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 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4D2D64"/>
    <w:rsid w:val="7C4D2D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2017-11-10T01:06:00Z</dcterms:created>
  <dc:creator>wuli啵啵虎</dc:creator>
  <cp:lastModifiedBy>wuli啵啵虎</cp:lastModifiedBy>
  <dcterms:modified xsi:type="dcterms:W3CDTF">2017-11-10T01:09:27Z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